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4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209"/>
        <w:gridCol w:w="4300"/>
      </w:tblGrid>
      <w:tr w:rsidR="00AD2065" w:rsidTr="001F6532">
        <w:trPr>
          <w:trHeight w:val="903"/>
        </w:trPr>
        <w:tc>
          <w:tcPr>
            <w:tcW w:w="5209" w:type="dxa"/>
            <w:vAlign w:val="center"/>
          </w:tcPr>
          <w:p w:rsidR="00907E0D" w:rsidRDefault="007B646C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Nisan</w:t>
            </w:r>
            <w:r w:rsidR="0012715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</w:t>
            </w:r>
            <w:r w:rsidR="004037F0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</w:p>
          <w:p w:rsidR="00AD2065" w:rsidRDefault="00B34DA9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 İşgücü İstatistikleri</w:t>
            </w:r>
          </w:p>
        </w:tc>
        <w:tc>
          <w:tcPr>
            <w:tcW w:w="4300" w:type="dxa"/>
          </w:tcPr>
          <w:p w:rsidR="00AD2065" w:rsidRDefault="00EB4BA5" w:rsidP="007B646C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</w:t>
            </w:r>
            <w:r w:rsidR="00C97EF7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1</w:t>
            </w:r>
            <w:r w:rsidR="007B646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6</w:t>
            </w:r>
            <w:r w:rsidR="0012715C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7B646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Temmuz</w:t>
            </w:r>
            <w:r w:rsidR="007134AC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2</w:t>
            </w:r>
            <w:r w:rsidR="00B27C50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01</w:t>
            </w:r>
            <w:r w:rsidR="004037F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9</w:t>
            </w:r>
            <w:r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   </w:t>
            </w:r>
            <w:r w:rsidR="00AD2065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28D86EDF" wp14:editId="122220DB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65" w:rsidRDefault="00AD2065" w:rsidP="009113D4">
      <w:pPr>
        <w:pStyle w:val="stBilgi"/>
        <w:jc w:val="both"/>
      </w:pPr>
    </w:p>
    <w:p w:rsidR="006B2D78" w:rsidRPr="006B2D78" w:rsidRDefault="004037F0" w:rsidP="009113D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2019 </w:t>
      </w:r>
      <w:r w:rsidR="007B646C">
        <w:rPr>
          <w:rFonts w:ascii="Times New Roman" w:hAnsi="Times New Roman" w:cs="Times New Roman"/>
          <w:b/>
        </w:rPr>
        <w:t>Nisan</w:t>
      </w:r>
      <w:r w:rsidR="0012715C">
        <w:rPr>
          <w:rFonts w:ascii="Times New Roman" w:hAnsi="Times New Roman" w:cs="Times New Roman"/>
          <w:b/>
        </w:rPr>
        <w:t xml:space="preserve"> ayı</w:t>
      </w:r>
      <w:r w:rsidR="006B2D78" w:rsidRPr="006B2D78">
        <w:rPr>
          <w:rFonts w:ascii="Times New Roman" w:hAnsi="Times New Roman" w:cs="Times New Roman"/>
          <w:b/>
        </w:rPr>
        <w:t xml:space="preserve"> </w:t>
      </w:r>
      <w:r w:rsidR="000F3A7D">
        <w:rPr>
          <w:rFonts w:ascii="Times New Roman" w:hAnsi="Times New Roman" w:cs="Times New Roman"/>
          <w:b/>
        </w:rPr>
        <w:t>Hanehalkı İşgücü İstatistikleri</w:t>
      </w:r>
      <w:r w:rsidR="00670F81">
        <w:rPr>
          <w:rFonts w:ascii="Times New Roman" w:hAnsi="Times New Roman" w:cs="Times New Roman"/>
          <w:b/>
        </w:rPr>
        <w:t>,</w:t>
      </w:r>
      <w:r w:rsidR="000F3A7D">
        <w:rPr>
          <w:rFonts w:ascii="Times New Roman" w:hAnsi="Times New Roman" w:cs="Times New Roman"/>
          <w:b/>
        </w:rPr>
        <w:t xml:space="preserve"> Türkiye İstatistik Kurumu tarafından </w:t>
      </w:r>
      <w:r w:rsidR="00670F81">
        <w:rPr>
          <w:rFonts w:ascii="Times New Roman" w:hAnsi="Times New Roman" w:cs="Times New Roman"/>
          <w:b/>
        </w:rPr>
        <w:t>1</w:t>
      </w:r>
      <w:r w:rsidR="007B646C">
        <w:rPr>
          <w:rFonts w:ascii="Times New Roman" w:hAnsi="Times New Roman" w:cs="Times New Roman"/>
          <w:b/>
        </w:rPr>
        <w:t>6</w:t>
      </w:r>
      <w:r w:rsidR="00C92766">
        <w:rPr>
          <w:rFonts w:ascii="Times New Roman" w:hAnsi="Times New Roman" w:cs="Times New Roman"/>
          <w:b/>
        </w:rPr>
        <w:t xml:space="preserve"> </w:t>
      </w:r>
      <w:r w:rsidR="007B646C">
        <w:rPr>
          <w:rFonts w:ascii="Times New Roman" w:hAnsi="Times New Roman" w:cs="Times New Roman"/>
          <w:b/>
        </w:rPr>
        <w:t>Temmuz</w:t>
      </w:r>
      <w:r w:rsidR="00531805">
        <w:rPr>
          <w:rFonts w:ascii="Times New Roman" w:hAnsi="Times New Roman" w:cs="Times New Roman"/>
          <w:b/>
        </w:rPr>
        <w:t xml:space="preserve"> 2019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>açıklandı.</w:t>
      </w:r>
    </w:p>
    <w:p w:rsidR="00EA6001" w:rsidRDefault="004037F0" w:rsidP="00E42BBF">
      <w:pPr>
        <w:pStyle w:val="Balk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12715C" w:rsidRPr="00760EBE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u</w:t>
      </w:r>
      <w:r w:rsidR="002354F4">
        <w:rPr>
          <w:rFonts w:ascii="Times New Roman" w:hAnsi="Times New Roman" w:cs="Times New Roman"/>
        </w:rPr>
        <w:t xml:space="preserve">n </w:t>
      </w:r>
      <w:r w:rsidR="007B646C">
        <w:rPr>
          <w:rFonts w:ascii="Times New Roman" w:hAnsi="Times New Roman" w:cs="Times New Roman"/>
        </w:rPr>
        <w:t>Nisan</w:t>
      </w:r>
      <w:r w:rsidR="00C85AD2" w:rsidRPr="00760EBE">
        <w:rPr>
          <w:rFonts w:ascii="Times New Roman" w:hAnsi="Times New Roman" w:cs="Times New Roman"/>
        </w:rPr>
        <w:t xml:space="preserve"> </w:t>
      </w:r>
      <w:r w:rsidR="0012715C" w:rsidRPr="00760EBE">
        <w:rPr>
          <w:rFonts w:ascii="Times New Roman" w:hAnsi="Times New Roman" w:cs="Times New Roman"/>
        </w:rPr>
        <w:t>a</w:t>
      </w:r>
      <w:r w:rsidR="0048395E" w:rsidRPr="00760EBE">
        <w:rPr>
          <w:rFonts w:ascii="Times New Roman" w:hAnsi="Times New Roman" w:cs="Times New Roman"/>
        </w:rPr>
        <w:t>yında Türkiye’deki toplam işsiz</w:t>
      </w:r>
      <w:r w:rsidR="00D605AD" w:rsidRPr="00760EBE">
        <w:rPr>
          <w:rFonts w:ascii="Times New Roman" w:hAnsi="Times New Roman" w:cs="Times New Roman"/>
        </w:rPr>
        <w:t xml:space="preserve"> </w:t>
      </w:r>
      <w:r w:rsidR="0048395E" w:rsidRPr="00760EBE">
        <w:rPr>
          <w:rFonts w:ascii="Times New Roman" w:hAnsi="Times New Roman" w:cs="Times New Roman"/>
        </w:rPr>
        <w:t>sayısı</w:t>
      </w:r>
      <w:r w:rsidR="00C97EF7" w:rsidRPr="00760EBE">
        <w:rPr>
          <w:rFonts w:ascii="Times New Roman" w:hAnsi="Times New Roman" w:cs="Times New Roman"/>
        </w:rPr>
        <w:t xml:space="preserve">, geçen yılın </w:t>
      </w:r>
      <w:r w:rsidR="00F9792D">
        <w:rPr>
          <w:rFonts w:ascii="Times New Roman" w:hAnsi="Times New Roman" w:cs="Times New Roman"/>
        </w:rPr>
        <w:t>aynı</w:t>
      </w:r>
      <w:r w:rsidR="003C66BD">
        <w:rPr>
          <w:rFonts w:ascii="Times New Roman" w:hAnsi="Times New Roman" w:cs="Times New Roman"/>
        </w:rPr>
        <w:t xml:space="preserve"> dönemine göre </w:t>
      </w:r>
      <w:r>
        <w:rPr>
          <w:rFonts w:ascii="Times New Roman" w:hAnsi="Times New Roman" w:cs="Times New Roman"/>
        </w:rPr>
        <w:t xml:space="preserve">1 milyon </w:t>
      </w:r>
      <w:r w:rsidR="007B646C">
        <w:rPr>
          <w:rFonts w:ascii="Times New Roman" w:hAnsi="Times New Roman" w:cs="Times New Roman"/>
        </w:rPr>
        <w:t>116</w:t>
      </w:r>
      <w:r w:rsidR="00F9792D">
        <w:rPr>
          <w:rFonts w:ascii="Times New Roman" w:hAnsi="Times New Roman" w:cs="Times New Roman"/>
        </w:rPr>
        <w:t xml:space="preserve"> bin kişi </w:t>
      </w:r>
      <w:r w:rsidR="007134AC">
        <w:rPr>
          <w:rFonts w:ascii="Times New Roman" w:hAnsi="Times New Roman" w:cs="Times New Roman"/>
        </w:rPr>
        <w:t>a</w:t>
      </w:r>
      <w:r w:rsidR="00531805">
        <w:rPr>
          <w:rFonts w:ascii="Times New Roman" w:hAnsi="Times New Roman" w:cs="Times New Roman"/>
        </w:rPr>
        <w:t>rtarak 4</w:t>
      </w:r>
      <w:r w:rsidR="00CC76E5">
        <w:rPr>
          <w:rFonts w:ascii="Times New Roman" w:hAnsi="Times New Roman" w:cs="Times New Roman"/>
        </w:rPr>
        <w:t xml:space="preserve"> milyon </w:t>
      </w:r>
      <w:r w:rsidR="007B646C">
        <w:rPr>
          <w:rFonts w:ascii="Times New Roman" w:hAnsi="Times New Roman" w:cs="Times New Roman"/>
        </w:rPr>
        <w:t>202</w:t>
      </w:r>
      <w:r w:rsidR="00C97EF7" w:rsidRPr="00760EBE">
        <w:rPr>
          <w:rFonts w:ascii="Times New Roman" w:hAnsi="Times New Roman" w:cs="Times New Roman"/>
        </w:rPr>
        <w:t xml:space="preserve"> bin kişi oldu. Böylece işsizlik </w:t>
      </w:r>
      <w:r>
        <w:rPr>
          <w:rFonts w:ascii="Times New Roman" w:hAnsi="Times New Roman" w:cs="Times New Roman"/>
        </w:rPr>
        <w:t xml:space="preserve">oranı </w:t>
      </w:r>
      <w:r w:rsidR="007B646C">
        <w:rPr>
          <w:rFonts w:ascii="Times New Roman" w:hAnsi="Times New Roman" w:cs="Times New Roman"/>
        </w:rPr>
        <w:t>3,</w:t>
      </w:r>
      <w:r>
        <w:rPr>
          <w:rFonts w:ascii="Times New Roman" w:hAnsi="Times New Roman" w:cs="Times New Roman"/>
        </w:rPr>
        <w:t xml:space="preserve">4, </w:t>
      </w:r>
      <w:r w:rsidR="003F6B23">
        <w:rPr>
          <w:rFonts w:ascii="Times New Roman" w:hAnsi="Times New Roman" w:cs="Times New Roman"/>
        </w:rPr>
        <w:t xml:space="preserve">tarım dışı işsizlik oranı ise </w:t>
      </w:r>
      <w:r w:rsidR="007B646C">
        <w:rPr>
          <w:rFonts w:ascii="Times New Roman" w:hAnsi="Times New Roman" w:cs="Times New Roman"/>
        </w:rPr>
        <w:t>3,6</w:t>
      </w:r>
      <w:r w:rsidR="00E95D95">
        <w:rPr>
          <w:rFonts w:ascii="Times New Roman" w:hAnsi="Times New Roman" w:cs="Times New Roman"/>
        </w:rPr>
        <w:t xml:space="preserve"> pu</w:t>
      </w:r>
      <w:r w:rsidR="00F851D9">
        <w:rPr>
          <w:rFonts w:ascii="Times New Roman" w:hAnsi="Times New Roman" w:cs="Times New Roman"/>
        </w:rPr>
        <w:t>an art</w:t>
      </w:r>
      <w:r w:rsidR="00CC76E5">
        <w:rPr>
          <w:rFonts w:ascii="Times New Roman" w:hAnsi="Times New Roman" w:cs="Times New Roman"/>
        </w:rPr>
        <w:t>ış göstererek</w:t>
      </w:r>
      <w:r w:rsidR="003F6B23">
        <w:rPr>
          <w:rFonts w:ascii="Times New Roman" w:hAnsi="Times New Roman" w:cs="Times New Roman"/>
        </w:rPr>
        <w:t xml:space="preserve"> sı</w:t>
      </w:r>
      <w:r w:rsidR="007B646C">
        <w:rPr>
          <w:rFonts w:ascii="Times New Roman" w:hAnsi="Times New Roman" w:cs="Times New Roman"/>
        </w:rPr>
        <w:t>rasıyla yüzde 13 ve yüzde 15</w:t>
      </w:r>
      <w:r w:rsidR="00E95D95">
        <w:rPr>
          <w:rFonts w:ascii="Times New Roman" w:hAnsi="Times New Roman" w:cs="Times New Roman"/>
        </w:rPr>
        <w:t xml:space="preserve"> olarak gerçekleşti.</w:t>
      </w:r>
      <w:r w:rsidR="00D605AD" w:rsidRPr="00760EBE">
        <w:rPr>
          <w:rFonts w:ascii="Times New Roman" w:hAnsi="Times New Roman" w:cs="Times New Roman"/>
        </w:rPr>
        <w:t xml:space="preserve"> Genç nüfusta</w:t>
      </w:r>
      <w:r w:rsidR="001E65DA" w:rsidRPr="00760EBE">
        <w:rPr>
          <w:rFonts w:ascii="Times New Roman" w:hAnsi="Times New Roman" w:cs="Times New Roman"/>
        </w:rPr>
        <w:t xml:space="preserve"> işsizlik</w:t>
      </w:r>
      <w:r w:rsidR="0012715C" w:rsidRPr="00760EBE">
        <w:rPr>
          <w:rFonts w:ascii="Times New Roman" w:hAnsi="Times New Roman" w:cs="Times New Roman"/>
        </w:rPr>
        <w:t xml:space="preserve"> </w:t>
      </w:r>
      <w:r w:rsidR="00D605AD" w:rsidRPr="00760EBE">
        <w:rPr>
          <w:rFonts w:ascii="Times New Roman" w:hAnsi="Times New Roman" w:cs="Times New Roman"/>
        </w:rPr>
        <w:t xml:space="preserve">oranı ise </w:t>
      </w:r>
      <w:r w:rsidR="007B646C">
        <w:rPr>
          <w:rFonts w:ascii="Times New Roman" w:hAnsi="Times New Roman" w:cs="Times New Roman"/>
        </w:rPr>
        <w:t>6,3</w:t>
      </w:r>
      <w:r w:rsidR="003F6B23">
        <w:rPr>
          <w:rFonts w:ascii="Times New Roman" w:hAnsi="Times New Roman" w:cs="Times New Roman"/>
        </w:rPr>
        <w:t xml:space="preserve"> puan a</w:t>
      </w:r>
      <w:r w:rsidR="00F851D9">
        <w:rPr>
          <w:rFonts w:ascii="Times New Roman" w:hAnsi="Times New Roman" w:cs="Times New Roman"/>
        </w:rPr>
        <w:t xml:space="preserve">rtarak </w:t>
      </w:r>
      <w:r w:rsidR="003F6B23">
        <w:rPr>
          <w:rFonts w:ascii="Times New Roman" w:hAnsi="Times New Roman" w:cs="Times New Roman"/>
        </w:rPr>
        <w:t>yüzde</w:t>
      </w:r>
      <w:r w:rsidR="007B646C">
        <w:rPr>
          <w:rFonts w:ascii="Times New Roman" w:hAnsi="Times New Roman" w:cs="Times New Roman"/>
        </w:rPr>
        <w:t xml:space="preserve"> 23</w:t>
      </w:r>
      <w:r w:rsidR="00C92766">
        <w:rPr>
          <w:rFonts w:ascii="Times New Roman" w:hAnsi="Times New Roman" w:cs="Times New Roman"/>
        </w:rPr>
        <w:t>,2</w:t>
      </w:r>
      <w:r w:rsidR="00F851D9">
        <w:rPr>
          <w:rFonts w:ascii="Times New Roman" w:hAnsi="Times New Roman" w:cs="Times New Roman"/>
        </w:rPr>
        <w:t>’</w:t>
      </w:r>
      <w:r w:rsidR="007B646C">
        <w:rPr>
          <w:rFonts w:ascii="Times New Roman" w:hAnsi="Times New Roman" w:cs="Times New Roman"/>
        </w:rPr>
        <w:t>y</w:t>
      </w:r>
      <w:r w:rsidR="00F851D9">
        <w:rPr>
          <w:rFonts w:ascii="Times New Roman" w:hAnsi="Times New Roman" w:cs="Times New Roman"/>
        </w:rPr>
        <w:t>e</w:t>
      </w:r>
      <w:r w:rsidR="00C67B1D" w:rsidRPr="00760EBE">
        <w:rPr>
          <w:rFonts w:ascii="Times New Roman" w:hAnsi="Times New Roman" w:cs="Times New Roman"/>
        </w:rPr>
        <w:t xml:space="preserve"> </w:t>
      </w:r>
      <w:r w:rsidR="00F851D9">
        <w:rPr>
          <w:rFonts w:ascii="Times New Roman" w:hAnsi="Times New Roman" w:cs="Times New Roman"/>
        </w:rPr>
        <w:t>yükseldi.</w:t>
      </w:r>
    </w:p>
    <w:p w:rsidR="00E42BBF" w:rsidRPr="00E42BBF" w:rsidRDefault="00E42BBF" w:rsidP="00E42BBF"/>
    <w:p w:rsidR="00B957A3" w:rsidRDefault="007B646C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Nisan</w:t>
      </w:r>
      <w:r w:rsidR="004037F0">
        <w:rPr>
          <w:rFonts w:ascii="Times New Roman" w:hAnsi="Times New Roman" w:cs="Times New Roman"/>
        </w:rPr>
        <w:t xml:space="preserve"> 2019’da</w:t>
      </w:r>
      <w:r w:rsidR="00ED7524" w:rsidRPr="005D1CCA">
        <w:rPr>
          <w:rFonts w:ascii="Times New Roman" w:hAnsi="Times New Roman" w:cs="Times New Roman"/>
        </w:rPr>
        <w:t xml:space="preserve"> </w:t>
      </w:r>
      <w:r w:rsidR="001A195B">
        <w:rPr>
          <w:rFonts w:ascii="Times New Roman" w:hAnsi="Times New Roman" w:cs="Times New Roman"/>
        </w:rPr>
        <w:t>Türkiye genelinde 15 yaş ve üstü bireyle</w:t>
      </w:r>
      <w:r w:rsidR="00C67B1D">
        <w:rPr>
          <w:rFonts w:ascii="Times New Roman" w:hAnsi="Times New Roman" w:cs="Times New Roman"/>
        </w:rPr>
        <w:t>rde istihdam edilen kişi sayısı</w:t>
      </w:r>
      <w:r w:rsidR="002A5E4E">
        <w:rPr>
          <w:rFonts w:ascii="Times New Roman" w:hAnsi="Times New Roman" w:cs="Times New Roman"/>
        </w:rPr>
        <w:t>,</w:t>
      </w:r>
      <w:r w:rsidR="00C67B1D">
        <w:rPr>
          <w:rFonts w:ascii="Times New Roman" w:hAnsi="Times New Roman" w:cs="Times New Roman"/>
        </w:rPr>
        <w:t xml:space="preserve"> </w:t>
      </w:r>
      <w:r w:rsidR="00236A4A">
        <w:rPr>
          <w:rFonts w:ascii="Times New Roman" w:hAnsi="Times New Roman" w:cs="Times New Roman"/>
        </w:rPr>
        <w:t>bir önceki yılın aynı dönemine</w:t>
      </w:r>
      <w:r w:rsidR="00DC1EE8">
        <w:rPr>
          <w:rFonts w:ascii="Times New Roman" w:hAnsi="Times New Roman" w:cs="Times New Roman"/>
        </w:rPr>
        <w:t xml:space="preserve"> göre 810</w:t>
      </w:r>
      <w:r w:rsidR="002354F4">
        <w:rPr>
          <w:rFonts w:ascii="Times New Roman" w:hAnsi="Times New Roman" w:cs="Times New Roman"/>
        </w:rPr>
        <w:t xml:space="preserve"> bin </w:t>
      </w:r>
      <w:r w:rsidR="00236A4A">
        <w:rPr>
          <w:rFonts w:ascii="Times New Roman" w:hAnsi="Times New Roman" w:cs="Times New Roman"/>
        </w:rPr>
        <w:t xml:space="preserve">kişi </w:t>
      </w:r>
      <w:r w:rsidR="00AF7253">
        <w:rPr>
          <w:rFonts w:ascii="Times New Roman" w:hAnsi="Times New Roman" w:cs="Times New Roman"/>
        </w:rPr>
        <w:t>a</w:t>
      </w:r>
      <w:r w:rsidR="00531805">
        <w:rPr>
          <w:rFonts w:ascii="Times New Roman" w:hAnsi="Times New Roman" w:cs="Times New Roman"/>
        </w:rPr>
        <w:t>zalış</w:t>
      </w:r>
      <w:r w:rsidR="00AF7253">
        <w:rPr>
          <w:rFonts w:ascii="Times New Roman" w:hAnsi="Times New Roman" w:cs="Times New Roman"/>
        </w:rPr>
        <w:t xml:space="preserve"> göstererek</w:t>
      </w:r>
      <w:r w:rsidR="00C707D3">
        <w:rPr>
          <w:rFonts w:ascii="Times New Roman" w:hAnsi="Times New Roman" w:cs="Times New Roman"/>
        </w:rPr>
        <w:t xml:space="preserve"> 2</w:t>
      </w:r>
      <w:r w:rsidR="00DC1EE8">
        <w:rPr>
          <w:rFonts w:ascii="Times New Roman" w:hAnsi="Times New Roman" w:cs="Times New Roman"/>
        </w:rPr>
        <w:t>8</w:t>
      </w:r>
      <w:r w:rsidR="00C707D3">
        <w:rPr>
          <w:rFonts w:ascii="Times New Roman" w:hAnsi="Times New Roman" w:cs="Times New Roman"/>
        </w:rPr>
        <w:t xml:space="preserve"> milyon </w:t>
      </w:r>
      <w:r w:rsidR="00DC1EE8">
        <w:rPr>
          <w:rFonts w:ascii="Times New Roman" w:hAnsi="Times New Roman" w:cs="Times New Roman"/>
        </w:rPr>
        <w:t>199</w:t>
      </w:r>
      <w:r w:rsidR="00F21401">
        <w:rPr>
          <w:rFonts w:ascii="Times New Roman" w:hAnsi="Times New Roman" w:cs="Times New Roman"/>
        </w:rPr>
        <w:t xml:space="preserve"> </w:t>
      </w:r>
      <w:r w:rsidR="00C707D3">
        <w:rPr>
          <w:rFonts w:ascii="Times New Roman" w:hAnsi="Times New Roman" w:cs="Times New Roman"/>
        </w:rPr>
        <w:t>bin</w:t>
      </w:r>
      <w:r w:rsidR="00C67B1D">
        <w:rPr>
          <w:rFonts w:ascii="Times New Roman" w:hAnsi="Times New Roman" w:cs="Times New Roman"/>
        </w:rPr>
        <w:t xml:space="preserve"> kişi oldu</w:t>
      </w:r>
      <w:r w:rsidR="001A195B">
        <w:rPr>
          <w:rFonts w:ascii="Times New Roman" w:hAnsi="Times New Roman" w:cs="Times New Roman"/>
        </w:rPr>
        <w:t>.</w:t>
      </w:r>
    </w:p>
    <w:p w:rsidR="00F87CCD" w:rsidRPr="00054B5D" w:rsidRDefault="00ED7524" w:rsidP="00686A55">
      <w:pPr>
        <w:spacing w:line="360" w:lineRule="auto"/>
        <w:rPr>
          <w:noProof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CB6DC5">
        <w:rPr>
          <w:rFonts w:ascii="Times New Roman" w:hAnsi="Times New Roman" w:cs="Times New Roman"/>
          <w:szCs w:val="18"/>
        </w:rPr>
        <w:t xml:space="preserve"> 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957A3">
        <w:rPr>
          <w:rFonts w:ascii="Times New Roman" w:hAnsi="Times New Roman" w:cs="Times New Roman"/>
          <w:b/>
          <w:szCs w:val="18"/>
        </w:rPr>
        <w:t xml:space="preserve">’de </w:t>
      </w:r>
      <w:r w:rsidR="00B27A6A" w:rsidRPr="00B27A6A">
        <w:rPr>
          <w:rFonts w:ascii="Times New Roman" w:hAnsi="Times New Roman" w:cs="Times New Roman"/>
          <w:b/>
          <w:szCs w:val="18"/>
        </w:rPr>
        <w:t xml:space="preserve">15 yaş ve üzerinde istihdam edilen kişi </w:t>
      </w:r>
      <w:r w:rsidR="00B27A6A" w:rsidRPr="00B53BE3">
        <w:rPr>
          <w:rFonts w:ascii="Times New Roman" w:hAnsi="Times New Roman" w:cs="Times New Roman"/>
          <w:b/>
          <w:szCs w:val="18"/>
        </w:rPr>
        <w:t>sayısı</w:t>
      </w:r>
      <w:r w:rsidRPr="00B53BE3">
        <w:rPr>
          <w:rFonts w:ascii="Times New Roman" w:hAnsi="Times New Roman" w:cs="Times New Roman"/>
          <w:b/>
          <w:szCs w:val="18"/>
        </w:rPr>
        <w:t xml:space="preserve"> </w:t>
      </w:r>
      <w:r w:rsidR="003E0504">
        <w:rPr>
          <w:rFonts w:ascii="Times New Roman" w:hAnsi="Times New Roman" w:cs="Times New Roman"/>
          <w:b/>
          <w:szCs w:val="18"/>
        </w:rPr>
        <w:t xml:space="preserve">ve </w:t>
      </w:r>
      <w:r w:rsidR="001544CF">
        <w:rPr>
          <w:rFonts w:ascii="Times New Roman" w:hAnsi="Times New Roman" w:cs="Times New Roman"/>
          <w:b/>
          <w:szCs w:val="18"/>
        </w:rPr>
        <w:t>15 yaş ve üzerinde toplam</w:t>
      </w:r>
      <w:r w:rsidR="000E7256">
        <w:rPr>
          <w:rFonts w:ascii="Times New Roman" w:hAnsi="Times New Roman" w:cs="Times New Roman"/>
          <w:b/>
          <w:szCs w:val="18"/>
        </w:rPr>
        <w:t xml:space="preserve"> işgücü</w:t>
      </w:r>
      <w:r w:rsidR="00D605AD">
        <w:rPr>
          <w:rFonts w:ascii="Times New Roman" w:hAnsi="Times New Roman" w:cs="Times New Roman"/>
          <w:b/>
          <w:szCs w:val="18"/>
        </w:rPr>
        <w:t xml:space="preserve">, </w:t>
      </w:r>
      <w:r w:rsidR="00123B6B">
        <w:rPr>
          <w:rFonts w:ascii="Times New Roman" w:hAnsi="Times New Roman" w:cs="Times New Roman"/>
          <w:b/>
          <w:szCs w:val="18"/>
        </w:rPr>
        <w:t>Nisan</w:t>
      </w:r>
      <w:r w:rsidR="004037F0">
        <w:rPr>
          <w:rFonts w:ascii="Times New Roman" w:hAnsi="Times New Roman" w:cs="Times New Roman"/>
          <w:b/>
          <w:szCs w:val="18"/>
        </w:rPr>
        <w:t xml:space="preserve"> 2018 </w:t>
      </w:r>
      <w:r w:rsidR="00EB4BA5">
        <w:rPr>
          <w:rFonts w:ascii="Times New Roman" w:hAnsi="Times New Roman" w:cs="Times New Roman"/>
          <w:b/>
          <w:szCs w:val="18"/>
        </w:rPr>
        <w:t xml:space="preserve">- </w:t>
      </w:r>
      <w:r w:rsidR="00123B6B">
        <w:rPr>
          <w:rFonts w:ascii="Times New Roman" w:hAnsi="Times New Roman" w:cs="Times New Roman"/>
          <w:b/>
          <w:szCs w:val="18"/>
        </w:rPr>
        <w:t>Nisan</w:t>
      </w:r>
      <w:r w:rsidR="00F851D9">
        <w:rPr>
          <w:rFonts w:ascii="Times New Roman" w:hAnsi="Times New Roman" w:cs="Times New Roman"/>
          <w:b/>
          <w:szCs w:val="18"/>
        </w:rPr>
        <w:t xml:space="preserve"> </w:t>
      </w:r>
      <w:r w:rsidR="0096558F">
        <w:rPr>
          <w:rFonts w:ascii="Times New Roman" w:hAnsi="Times New Roman" w:cs="Times New Roman"/>
          <w:b/>
          <w:szCs w:val="18"/>
        </w:rPr>
        <w:t>201</w:t>
      </w:r>
      <w:r w:rsidR="004037F0">
        <w:rPr>
          <w:rFonts w:ascii="Times New Roman" w:hAnsi="Times New Roman" w:cs="Times New Roman"/>
          <w:b/>
          <w:szCs w:val="18"/>
        </w:rPr>
        <w:t>9</w:t>
      </w:r>
      <w:r w:rsidR="00DC1EE8">
        <w:rPr>
          <w:noProof/>
        </w:rPr>
        <w:drawing>
          <wp:inline distT="0" distB="0" distL="0" distR="0" wp14:anchorId="211D5AE4" wp14:editId="3B553897">
            <wp:extent cx="5972810" cy="2283460"/>
            <wp:effectExtent l="0" t="0" r="8890" b="254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87CCD" w:rsidRPr="00F87CCD">
        <w:rPr>
          <w:rFonts w:ascii="Times New Roman" w:hAnsi="Times New Roman" w:cs="Times New Roman"/>
          <w:sz w:val="20"/>
          <w:szCs w:val="18"/>
        </w:rPr>
        <w:t>Kaynak: TÜİK</w:t>
      </w:r>
    </w:p>
    <w:p w:rsidR="00461AA0" w:rsidRDefault="00123B6B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Nisan</w:t>
      </w:r>
      <w:r w:rsidR="008776D9">
        <w:rPr>
          <w:rFonts w:ascii="Times New Roman" w:hAnsi="Times New Roman" w:cs="Times New Roman"/>
          <w:szCs w:val="18"/>
        </w:rPr>
        <w:t xml:space="preserve"> 2019’da</w:t>
      </w:r>
      <w:r w:rsidR="001544CF">
        <w:rPr>
          <w:rFonts w:ascii="Times New Roman" w:hAnsi="Times New Roman" w:cs="Times New Roman"/>
          <w:szCs w:val="18"/>
        </w:rPr>
        <w:t xml:space="preserve">, </w:t>
      </w:r>
      <w:r w:rsidR="00157358" w:rsidRPr="00157358">
        <w:rPr>
          <w:rFonts w:ascii="Times New Roman" w:hAnsi="Times New Roman" w:cs="Times New Roman"/>
          <w:szCs w:val="18"/>
        </w:rPr>
        <w:t>15 yaş ve üzeri birey</w:t>
      </w:r>
      <w:r w:rsidR="00F12E5E">
        <w:rPr>
          <w:rFonts w:ascii="Times New Roman" w:hAnsi="Times New Roman" w:cs="Times New Roman"/>
          <w:szCs w:val="18"/>
        </w:rPr>
        <w:t xml:space="preserve">lerde 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</w:t>
      </w:r>
      <w:r w:rsidR="00496F35">
        <w:rPr>
          <w:rFonts w:ascii="Times New Roman" w:hAnsi="Times New Roman" w:cs="Times New Roman"/>
          <w:szCs w:val="18"/>
        </w:rPr>
        <w:t>kadınların sayısı</w:t>
      </w:r>
      <w:r w:rsidR="00141A4E">
        <w:rPr>
          <w:rFonts w:ascii="Times New Roman" w:hAnsi="Times New Roman" w:cs="Times New Roman"/>
          <w:szCs w:val="18"/>
        </w:rPr>
        <w:t xml:space="preserve"> </w:t>
      </w:r>
      <w:r w:rsidR="008776D9">
        <w:rPr>
          <w:rFonts w:ascii="Times New Roman" w:hAnsi="Times New Roman" w:cs="Times New Roman"/>
          <w:szCs w:val="18"/>
        </w:rPr>
        <w:t>2018</w:t>
      </w:r>
      <w:r w:rsidR="0012715C">
        <w:rPr>
          <w:rFonts w:ascii="Times New Roman" w:hAnsi="Times New Roman" w:cs="Times New Roman"/>
          <w:szCs w:val="18"/>
        </w:rPr>
        <w:t xml:space="preserve"> yılının aynı dönemine göre </w:t>
      </w:r>
      <w:r w:rsidR="001E61D4">
        <w:rPr>
          <w:rFonts w:ascii="Times New Roman" w:hAnsi="Times New Roman" w:cs="Times New Roman"/>
          <w:szCs w:val="18"/>
        </w:rPr>
        <w:t>148</w:t>
      </w:r>
      <w:r w:rsidR="0048395E">
        <w:rPr>
          <w:rFonts w:ascii="Times New Roman" w:hAnsi="Times New Roman" w:cs="Times New Roman"/>
          <w:szCs w:val="18"/>
        </w:rPr>
        <w:t xml:space="preserve"> bin </w:t>
      </w:r>
      <w:r w:rsidR="001E61D4">
        <w:rPr>
          <w:rFonts w:ascii="Times New Roman" w:hAnsi="Times New Roman" w:cs="Times New Roman"/>
          <w:szCs w:val="18"/>
        </w:rPr>
        <w:t xml:space="preserve">kişi </w:t>
      </w:r>
      <w:r w:rsidR="00FA18BE">
        <w:rPr>
          <w:rFonts w:ascii="Times New Roman" w:hAnsi="Times New Roman" w:cs="Times New Roman"/>
          <w:szCs w:val="18"/>
        </w:rPr>
        <w:t>azal</w:t>
      </w:r>
      <w:r w:rsidR="000603A6">
        <w:rPr>
          <w:rFonts w:ascii="Times New Roman" w:hAnsi="Times New Roman" w:cs="Times New Roman"/>
          <w:szCs w:val="18"/>
        </w:rPr>
        <w:t>ara</w:t>
      </w:r>
      <w:r w:rsidR="0092688D">
        <w:rPr>
          <w:rFonts w:ascii="Times New Roman" w:hAnsi="Times New Roman" w:cs="Times New Roman"/>
          <w:szCs w:val="18"/>
        </w:rPr>
        <w:t>k</w:t>
      </w:r>
      <w:r w:rsidR="00496F35">
        <w:rPr>
          <w:rFonts w:ascii="Times New Roman" w:hAnsi="Times New Roman" w:cs="Times New Roman"/>
          <w:szCs w:val="18"/>
        </w:rPr>
        <w:t xml:space="preserve"> </w:t>
      </w:r>
      <w:r w:rsidR="00145C0B">
        <w:rPr>
          <w:rFonts w:ascii="Times New Roman" w:hAnsi="Times New Roman" w:cs="Times New Roman"/>
          <w:szCs w:val="18"/>
        </w:rPr>
        <w:t>20</w:t>
      </w:r>
      <w:r w:rsidR="00FA18BE">
        <w:rPr>
          <w:rFonts w:ascii="Times New Roman" w:hAnsi="Times New Roman" w:cs="Times New Roman"/>
          <w:szCs w:val="18"/>
        </w:rPr>
        <w:t>,3 milyon olurken</w:t>
      </w:r>
      <w:r w:rsidR="00157358" w:rsidRPr="00B53BE3">
        <w:rPr>
          <w:rFonts w:ascii="Times New Roman" w:hAnsi="Times New Roman" w:cs="Times New Roman"/>
          <w:szCs w:val="18"/>
        </w:rPr>
        <w:t>,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 xml:space="preserve">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erkeklerin sayısı da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1E61D4">
        <w:rPr>
          <w:rFonts w:ascii="Times New Roman" w:hAnsi="Times New Roman" w:cs="Times New Roman"/>
          <w:szCs w:val="18"/>
        </w:rPr>
        <w:t>8,6</w:t>
      </w:r>
      <w:r w:rsidR="00496F35">
        <w:rPr>
          <w:rFonts w:ascii="Times New Roman" w:hAnsi="Times New Roman" w:cs="Times New Roman"/>
          <w:szCs w:val="18"/>
        </w:rPr>
        <w:t xml:space="preserve"> milyon olarak gerçekleşti</w:t>
      </w:r>
      <w:r w:rsidR="00157358" w:rsidRPr="00157358">
        <w:rPr>
          <w:rFonts w:ascii="Times New Roman" w:hAnsi="Times New Roman" w:cs="Times New Roman"/>
          <w:szCs w:val="18"/>
        </w:rPr>
        <w:t>.</w:t>
      </w:r>
      <w:r w:rsidR="00461AA0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>Toplamda iş gü</w:t>
      </w:r>
      <w:r w:rsidR="00C67B1D">
        <w:rPr>
          <w:rFonts w:ascii="Times New Roman" w:hAnsi="Times New Roman" w:cs="Times New Roman"/>
          <w:szCs w:val="18"/>
        </w:rPr>
        <w:t xml:space="preserve">cüne </w:t>
      </w:r>
      <w:r w:rsidR="00D605AD">
        <w:rPr>
          <w:rFonts w:ascii="Times New Roman" w:hAnsi="Times New Roman" w:cs="Times New Roman"/>
          <w:szCs w:val="18"/>
        </w:rPr>
        <w:t>dâhil</w:t>
      </w:r>
      <w:r w:rsidR="00C67B1D">
        <w:rPr>
          <w:rFonts w:ascii="Times New Roman" w:hAnsi="Times New Roman" w:cs="Times New Roman"/>
          <w:szCs w:val="18"/>
        </w:rPr>
        <w:t xml:space="preserve"> olmayanlar ise </w:t>
      </w:r>
      <w:r w:rsidR="0012715C">
        <w:rPr>
          <w:rFonts w:ascii="Times New Roman" w:hAnsi="Times New Roman" w:cs="Times New Roman"/>
          <w:szCs w:val="18"/>
        </w:rPr>
        <w:t xml:space="preserve">bir önceki yılın aynı dönemine göre </w:t>
      </w:r>
      <w:r w:rsidR="001E61D4">
        <w:rPr>
          <w:rFonts w:ascii="Times New Roman" w:hAnsi="Times New Roman" w:cs="Times New Roman"/>
          <w:szCs w:val="18"/>
        </w:rPr>
        <w:t>436</w:t>
      </w:r>
      <w:r w:rsidR="005B6E7B">
        <w:rPr>
          <w:rFonts w:ascii="Times New Roman" w:hAnsi="Times New Roman" w:cs="Times New Roman"/>
          <w:szCs w:val="18"/>
        </w:rPr>
        <w:t xml:space="preserve"> bin kişi </w:t>
      </w:r>
      <w:r w:rsidR="00160E9B">
        <w:rPr>
          <w:rFonts w:ascii="Times New Roman" w:hAnsi="Times New Roman" w:cs="Times New Roman"/>
          <w:szCs w:val="18"/>
        </w:rPr>
        <w:t>a</w:t>
      </w:r>
      <w:r w:rsidR="001E61D4">
        <w:rPr>
          <w:rFonts w:ascii="Times New Roman" w:hAnsi="Times New Roman" w:cs="Times New Roman"/>
          <w:szCs w:val="18"/>
        </w:rPr>
        <w:t>rtarak 28,9</w:t>
      </w:r>
      <w:r w:rsidR="001C6BBF">
        <w:rPr>
          <w:rFonts w:ascii="Times New Roman" w:hAnsi="Times New Roman" w:cs="Times New Roman"/>
          <w:szCs w:val="18"/>
        </w:rPr>
        <w:t xml:space="preserve"> milyon</w:t>
      </w:r>
      <w:r w:rsidR="000F534F">
        <w:rPr>
          <w:rFonts w:ascii="Times New Roman" w:hAnsi="Times New Roman" w:cs="Times New Roman"/>
          <w:szCs w:val="18"/>
        </w:rPr>
        <w:t xml:space="preserve"> kişiye </w:t>
      </w:r>
      <w:r w:rsidR="009D472F">
        <w:rPr>
          <w:rFonts w:ascii="Times New Roman" w:hAnsi="Times New Roman" w:cs="Times New Roman"/>
          <w:szCs w:val="18"/>
        </w:rPr>
        <w:t xml:space="preserve">yükseldi. </w:t>
      </w:r>
      <w:r w:rsidR="00461AA0">
        <w:rPr>
          <w:rFonts w:ascii="Times New Roman" w:hAnsi="Times New Roman" w:cs="Times New Roman"/>
          <w:szCs w:val="18"/>
        </w:rPr>
        <w:t xml:space="preserve">Tarım </w:t>
      </w:r>
      <w:r w:rsidR="009D472F">
        <w:rPr>
          <w:rFonts w:ascii="Times New Roman" w:hAnsi="Times New Roman" w:cs="Times New Roman"/>
          <w:szCs w:val="18"/>
        </w:rPr>
        <w:t xml:space="preserve">istihdamı </w:t>
      </w:r>
      <w:r w:rsidR="001E61D4">
        <w:rPr>
          <w:rFonts w:ascii="Times New Roman" w:hAnsi="Times New Roman" w:cs="Times New Roman"/>
          <w:szCs w:val="18"/>
        </w:rPr>
        <w:t>5</w:t>
      </w:r>
      <w:r w:rsidR="00C67B1D">
        <w:rPr>
          <w:rFonts w:ascii="Times New Roman" w:hAnsi="Times New Roman" w:cs="Times New Roman"/>
          <w:szCs w:val="18"/>
        </w:rPr>
        <w:t xml:space="preserve"> </w:t>
      </w:r>
      <w:r w:rsidR="001A195B">
        <w:rPr>
          <w:rFonts w:ascii="Times New Roman" w:hAnsi="Times New Roman" w:cs="Times New Roman"/>
          <w:szCs w:val="18"/>
        </w:rPr>
        <w:t>milyon</w:t>
      </w:r>
      <w:r w:rsidR="00461AA0">
        <w:rPr>
          <w:rFonts w:ascii="Times New Roman" w:hAnsi="Times New Roman" w:cs="Times New Roman"/>
          <w:szCs w:val="18"/>
        </w:rPr>
        <w:t xml:space="preserve">, tarım dışı istihdam </w:t>
      </w:r>
      <w:r w:rsidR="00461AA0" w:rsidRPr="00B53BE3">
        <w:rPr>
          <w:rFonts w:ascii="Times New Roman" w:hAnsi="Times New Roman" w:cs="Times New Roman"/>
          <w:szCs w:val="18"/>
        </w:rPr>
        <w:t xml:space="preserve">ise </w:t>
      </w:r>
      <w:r w:rsidR="00FA18BE">
        <w:rPr>
          <w:rFonts w:ascii="Times New Roman" w:hAnsi="Times New Roman" w:cs="Times New Roman"/>
          <w:szCs w:val="18"/>
        </w:rPr>
        <w:t>23</w:t>
      </w:r>
      <w:r w:rsidR="001E61D4">
        <w:rPr>
          <w:rFonts w:ascii="Times New Roman" w:hAnsi="Times New Roman" w:cs="Times New Roman"/>
          <w:szCs w:val="18"/>
        </w:rPr>
        <w:t>,2</w:t>
      </w:r>
      <w:r w:rsidR="001A195B">
        <w:rPr>
          <w:rFonts w:ascii="Times New Roman" w:hAnsi="Times New Roman" w:cs="Times New Roman"/>
          <w:szCs w:val="18"/>
        </w:rPr>
        <w:t xml:space="preserve"> milyon kişi olarak gerçekleşti.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87CCD" w:rsidRPr="00462BDA" w:rsidRDefault="00ED7524" w:rsidP="00462BDA">
      <w:pPr>
        <w:spacing w:line="360" w:lineRule="auto"/>
        <w:rPr>
          <w:noProof/>
        </w:rPr>
      </w:pPr>
      <w:r w:rsidRPr="00B27A6A">
        <w:rPr>
          <w:rFonts w:ascii="Times New Roman" w:hAnsi="Times New Roman" w:cs="Times New Roman"/>
          <w:b/>
          <w:szCs w:val="18"/>
        </w:rPr>
        <w:lastRenderedPageBreak/>
        <w:t>Grafik 2.</w:t>
      </w:r>
      <w:r w:rsidRPr="00B27A6A">
        <w:rPr>
          <w:rFonts w:ascii="Times New Roman" w:hAnsi="Times New Roman" w:cs="Times New Roman"/>
          <w:szCs w:val="18"/>
        </w:rPr>
        <w:t xml:space="preserve">  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temel işgücü göstergeleri, 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15 ve daha yukarı yaştakiler, milyon kişi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r w:rsidR="00123B6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Nisan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</w:t>
      </w:r>
      <w:r w:rsidR="00866E0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9</w:t>
      </w:r>
      <w:r w:rsidR="00123B6B">
        <w:rPr>
          <w:noProof/>
        </w:rPr>
        <w:drawing>
          <wp:inline distT="0" distB="0" distL="0" distR="0" wp14:anchorId="1874DE87" wp14:editId="3B00ACF0">
            <wp:extent cx="5886449" cy="1771650"/>
            <wp:effectExtent l="0" t="0" r="635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</w:rPr>
        <w:t>Kaynak: TÜİK</w:t>
      </w:r>
    </w:p>
    <w:p w:rsidR="00B957A3" w:rsidRDefault="009A2AEB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Kadınlarda i</w:t>
      </w:r>
      <w:r w:rsidR="001A195B">
        <w:rPr>
          <w:rFonts w:ascii="Times New Roman" w:hAnsi="Times New Roman" w:cs="Times New Roman"/>
          <w:sz w:val="24"/>
        </w:rPr>
        <w:t xml:space="preserve">şgücüne </w:t>
      </w:r>
      <w:r w:rsidR="00F21401">
        <w:rPr>
          <w:rFonts w:ascii="Times New Roman" w:hAnsi="Times New Roman" w:cs="Times New Roman"/>
          <w:sz w:val="24"/>
        </w:rPr>
        <w:t>kat</w:t>
      </w:r>
      <w:r w:rsidR="00C67B1D">
        <w:rPr>
          <w:rFonts w:ascii="Times New Roman" w:hAnsi="Times New Roman" w:cs="Times New Roman"/>
          <w:sz w:val="24"/>
        </w:rPr>
        <w:t xml:space="preserve">ılma oranı </w:t>
      </w:r>
      <w:r>
        <w:rPr>
          <w:rFonts w:ascii="Times New Roman" w:hAnsi="Times New Roman" w:cs="Times New Roman"/>
          <w:sz w:val="24"/>
        </w:rPr>
        <w:t xml:space="preserve">bir yıl önceki yılın aynı dönemine göre </w:t>
      </w:r>
      <w:r w:rsidR="001E61D4">
        <w:rPr>
          <w:rFonts w:ascii="Times New Roman" w:hAnsi="Times New Roman" w:cs="Times New Roman"/>
          <w:sz w:val="24"/>
        </w:rPr>
        <w:t>0,5</w:t>
      </w:r>
      <w:r w:rsidR="00333A6F">
        <w:rPr>
          <w:rFonts w:ascii="Times New Roman" w:hAnsi="Times New Roman" w:cs="Times New Roman"/>
          <w:sz w:val="24"/>
        </w:rPr>
        <w:t xml:space="preserve"> puanlık bir artı</w:t>
      </w:r>
      <w:r w:rsidR="00D605AD">
        <w:rPr>
          <w:rFonts w:ascii="Times New Roman" w:hAnsi="Times New Roman" w:cs="Times New Roman"/>
          <w:sz w:val="24"/>
        </w:rPr>
        <w:t>ş</w:t>
      </w:r>
      <w:r w:rsidR="00866E05">
        <w:rPr>
          <w:rFonts w:ascii="Times New Roman" w:hAnsi="Times New Roman" w:cs="Times New Roman"/>
          <w:sz w:val="24"/>
        </w:rPr>
        <w:t>la yüzde 34</w:t>
      </w:r>
      <w:r w:rsidR="001E61D4">
        <w:rPr>
          <w:rFonts w:ascii="Times New Roman" w:hAnsi="Times New Roman" w:cs="Times New Roman"/>
          <w:sz w:val="24"/>
        </w:rPr>
        <w:t>,5</w:t>
      </w:r>
      <w:r>
        <w:rPr>
          <w:rFonts w:ascii="Times New Roman" w:hAnsi="Times New Roman" w:cs="Times New Roman"/>
          <w:sz w:val="24"/>
        </w:rPr>
        <w:t>’</w:t>
      </w:r>
      <w:r w:rsidR="00866E05">
        <w:rPr>
          <w:rFonts w:ascii="Times New Roman" w:hAnsi="Times New Roman" w:cs="Times New Roman"/>
          <w:sz w:val="24"/>
        </w:rPr>
        <w:t>e</w:t>
      </w:r>
      <w:r w:rsidR="00F214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ulaşırken</w:t>
      </w:r>
      <w:r w:rsidR="001A195B">
        <w:rPr>
          <w:rFonts w:ascii="Times New Roman" w:hAnsi="Times New Roman" w:cs="Times New Roman"/>
          <w:sz w:val="24"/>
        </w:rPr>
        <w:t xml:space="preserve"> erkeklerde </w:t>
      </w:r>
      <w:r w:rsidR="00CD44AA">
        <w:rPr>
          <w:rFonts w:ascii="Times New Roman" w:hAnsi="Times New Roman" w:cs="Times New Roman"/>
          <w:sz w:val="24"/>
        </w:rPr>
        <w:t>ise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1E61D4">
        <w:rPr>
          <w:rFonts w:ascii="Times New Roman" w:hAnsi="Times New Roman" w:cs="Times New Roman"/>
          <w:sz w:val="24"/>
        </w:rPr>
        <w:t>71,8</w:t>
      </w:r>
      <w:r w:rsidR="001A195B">
        <w:rPr>
          <w:rFonts w:ascii="Times New Roman" w:hAnsi="Times New Roman" w:cs="Times New Roman"/>
          <w:sz w:val="24"/>
        </w:rPr>
        <w:t xml:space="preserve"> olarak gerçekleşti.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2A35B5">
        <w:rPr>
          <w:rFonts w:ascii="Times New Roman" w:hAnsi="Times New Roman" w:cs="Times New Roman"/>
          <w:sz w:val="24"/>
        </w:rPr>
        <w:t>201</w:t>
      </w:r>
      <w:r w:rsidR="00866E05">
        <w:rPr>
          <w:rFonts w:ascii="Times New Roman" w:hAnsi="Times New Roman" w:cs="Times New Roman"/>
          <w:sz w:val="24"/>
        </w:rPr>
        <w:t>9</w:t>
      </w:r>
      <w:r w:rsidR="00333A6F">
        <w:rPr>
          <w:rFonts w:ascii="Times New Roman" w:hAnsi="Times New Roman" w:cs="Times New Roman"/>
          <w:sz w:val="24"/>
        </w:rPr>
        <w:t xml:space="preserve"> </w:t>
      </w:r>
      <w:r w:rsidR="001E61D4">
        <w:rPr>
          <w:rFonts w:ascii="Times New Roman" w:hAnsi="Times New Roman" w:cs="Times New Roman"/>
          <w:sz w:val="24"/>
        </w:rPr>
        <w:t>Nisan’d</w:t>
      </w:r>
      <w:r w:rsidR="00DC031B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toplamda</w:t>
      </w:r>
      <w:r w:rsidR="002A35B5">
        <w:rPr>
          <w:rFonts w:ascii="Times New Roman" w:hAnsi="Times New Roman" w:cs="Times New Roman"/>
          <w:sz w:val="24"/>
        </w:rPr>
        <w:t xml:space="preserve"> </w:t>
      </w:r>
      <w:r w:rsidR="00333A6F">
        <w:rPr>
          <w:rFonts w:ascii="Times New Roman" w:hAnsi="Times New Roman" w:cs="Times New Roman"/>
          <w:sz w:val="24"/>
        </w:rPr>
        <w:t>i</w:t>
      </w:r>
      <w:r w:rsidR="004905C4">
        <w:rPr>
          <w:rFonts w:ascii="Times New Roman" w:hAnsi="Times New Roman" w:cs="Times New Roman"/>
          <w:sz w:val="24"/>
        </w:rPr>
        <w:t>şgücüne katılım oranı yüzde 5</w:t>
      </w:r>
      <w:r w:rsidR="00FA18BE">
        <w:rPr>
          <w:rFonts w:ascii="Times New Roman" w:hAnsi="Times New Roman" w:cs="Times New Roman"/>
          <w:sz w:val="24"/>
        </w:rPr>
        <w:t>2,9</w:t>
      </w:r>
      <w:r w:rsidR="005B6E7B">
        <w:rPr>
          <w:rFonts w:ascii="Times New Roman" w:hAnsi="Times New Roman" w:cs="Times New Roman"/>
          <w:sz w:val="24"/>
        </w:rPr>
        <w:t xml:space="preserve"> oldu</w:t>
      </w:r>
      <w:r w:rsidR="001A195B">
        <w:rPr>
          <w:rFonts w:ascii="Times New Roman" w:hAnsi="Times New Roman" w:cs="Times New Roman"/>
          <w:sz w:val="24"/>
        </w:rPr>
        <w:t xml:space="preserve">. </w:t>
      </w:r>
      <w:r w:rsidR="001A195B" w:rsidRPr="00DC031B">
        <w:rPr>
          <w:rFonts w:ascii="Times New Roman" w:hAnsi="Times New Roman" w:cs="Times New Roman"/>
          <w:sz w:val="24"/>
        </w:rPr>
        <w:t xml:space="preserve">Türkiye </w:t>
      </w:r>
      <w:r w:rsidR="005B6E7B" w:rsidRPr="00DC031B">
        <w:rPr>
          <w:rFonts w:ascii="Times New Roman" w:hAnsi="Times New Roman" w:cs="Times New Roman"/>
          <w:sz w:val="24"/>
        </w:rPr>
        <w:t>mevsim etkilerinden arındırılmış</w:t>
      </w:r>
      <w:r w:rsidR="001A195B" w:rsidRPr="00DC031B">
        <w:rPr>
          <w:rFonts w:ascii="Times New Roman" w:hAnsi="Times New Roman" w:cs="Times New Roman"/>
          <w:sz w:val="24"/>
        </w:rPr>
        <w:t xml:space="preserve"> işsiz sayısı</w:t>
      </w:r>
      <w:r w:rsidR="00333A6F" w:rsidRPr="00DC031B">
        <w:rPr>
          <w:rFonts w:ascii="Times New Roman" w:hAnsi="Times New Roman" w:cs="Times New Roman"/>
          <w:sz w:val="24"/>
        </w:rPr>
        <w:t xml:space="preserve"> </w:t>
      </w:r>
      <w:r w:rsidR="002404FF" w:rsidRPr="00DC031B">
        <w:rPr>
          <w:rFonts w:ascii="Times New Roman" w:hAnsi="Times New Roman" w:cs="Times New Roman"/>
          <w:sz w:val="24"/>
        </w:rPr>
        <w:t>önceki dönem</w:t>
      </w:r>
      <w:r w:rsidRPr="00DC031B">
        <w:rPr>
          <w:rFonts w:ascii="Times New Roman" w:hAnsi="Times New Roman" w:cs="Times New Roman"/>
          <w:sz w:val="24"/>
        </w:rPr>
        <w:t>e</w:t>
      </w:r>
      <w:r w:rsidR="002A35B5" w:rsidRPr="00DC031B">
        <w:rPr>
          <w:rFonts w:ascii="Times New Roman" w:hAnsi="Times New Roman" w:cs="Times New Roman"/>
          <w:sz w:val="24"/>
        </w:rPr>
        <w:t xml:space="preserve"> göre </w:t>
      </w:r>
      <w:r w:rsidR="001E61D4">
        <w:rPr>
          <w:rFonts w:ascii="Times New Roman" w:hAnsi="Times New Roman" w:cs="Times New Roman"/>
          <w:sz w:val="24"/>
        </w:rPr>
        <w:t>7</w:t>
      </w:r>
      <w:r w:rsidR="00245751" w:rsidRPr="00DC031B">
        <w:rPr>
          <w:rFonts w:ascii="Times New Roman" w:hAnsi="Times New Roman" w:cs="Times New Roman"/>
          <w:sz w:val="24"/>
        </w:rPr>
        <w:t xml:space="preserve"> bin kişi </w:t>
      </w:r>
      <w:r w:rsidR="00784D01" w:rsidRPr="00DC031B">
        <w:rPr>
          <w:rFonts w:ascii="Times New Roman" w:hAnsi="Times New Roman" w:cs="Times New Roman"/>
          <w:sz w:val="24"/>
        </w:rPr>
        <w:t>artara</w:t>
      </w:r>
      <w:r w:rsidR="004905C4" w:rsidRPr="00DC031B">
        <w:rPr>
          <w:rFonts w:ascii="Times New Roman" w:hAnsi="Times New Roman" w:cs="Times New Roman"/>
          <w:sz w:val="24"/>
        </w:rPr>
        <w:t>k</w:t>
      </w:r>
      <w:r w:rsidR="001A195B" w:rsidRPr="00DC031B">
        <w:rPr>
          <w:rFonts w:ascii="Times New Roman" w:hAnsi="Times New Roman" w:cs="Times New Roman"/>
          <w:sz w:val="24"/>
        </w:rPr>
        <w:t xml:space="preserve"> </w:t>
      </w:r>
      <w:r w:rsidR="009D472F">
        <w:rPr>
          <w:rFonts w:ascii="Times New Roman" w:hAnsi="Times New Roman" w:cs="Times New Roman"/>
          <w:sz w:val="24"/>
        </w:rPr>
        <w:t>4</w:t>
      </w:r>
      <w:r w:rsidR="001A195B" w:rsidRPr="00DC031B">
        <w:rPr>
          <w:rFonts w:ascii="Times New Roman" w:hAnsi="Times New Roman" w:cs="Times New Roman"/>
          <w:sz w:val="24"/>
        </w:rPr>
        <w:t xml:space="preserve"> milyon </w:t>
      </w:r>
      <w:r w:rsidR="00FA18BE">
        <w:rPr>
          <w:rFonts w:ascii="Times New Roman" w:hAnsi="Times New Roman" w:cs="Times New Roman"/>
          <w:sz w:val="24"/>
        </w:rPr>
        <w:t>48</w:t>
      </w:r>
      <w:r w:rsidR="00866E05">
        <w:rPr>
          <w:rFonts w:ascii="Times New Roman" w:hAnsi="Times New Roman" w:cs="Times New Roman"/>
          <w:sz w:val="24"/>
        </w:rPr>
        <w:t>7</w:t>
      </w:r>
      <w:r w:rsidR="001A195B" w:rsidRPr="00DC031B">
        <w:rPr>
          <w:rFonts w:ascii="Times New Roman" w:hAnsi="Times New Roman" w:cs="Times New Roman"/>
          <w:sz w:val="24"/>
        </w:rPr>
        <w:t xml:space="preserve"> bin</w:t>
      </w:r>
      <w:r w:rsidR="00784D01" w:rsidRPr="00DC031B">
        <w:rPr>
          <w:rFonts w:ascii="Times New Roman" w:hAnsi="Times New Roman" w:cs="Times New Roman"/>
          <w:sz w:val="24"/>
        </w:rPr>
        <w:t xml:space="preserve"> kişiye ulaştı</w:t>
      </w:r>
      <w:r w:rsidR="0027053F" w:rsidRPr="00DC031B">
        <w:rPr>
          <w:rFonts w:ascii="Times New Roman" w:hAnsi="Times New Roman" w:cs="Times New Roman"/>
          <w:sz w:val="24"/>
        </w:rPr>
        <w:t xml:space="preserve">. İşsizlik oranı </w:t>
      </w:r>
      <w:r w:rsidRPr="00DC031B">
        <w:rPr>
          <w:rFonts w:ascii="Times New Roman" w:hAnsi="Times New Roman" w:cs="Times New Roman"/>
          <w:sz w:val="24"/>
        </w:rPr>
        <w:t>topl</w:t>
      </w:r>
      <w:r w:rsidR="00A26574" w:rsidRPr="00DC031B">
        <w:rPr>
          <w:rFonts w:ascii="Times New Roman" w:hAnsi="Times New Roman" w:cs="Times New Roman"/>
          <w:sz w:val="24"/>
        </w:rPr>
        <w:t xml:space="preserve">amda yüzde </w:t>
      </w:r>
      <w:r w:rsidR="00CE24F1">
        <w:rPr>
          <w:rFonts w:ascii="Times New Roman" w:hAnsi="Times New Roman" w:cs="Times New Roman"/>
          <w:sz w:val="24"/>
        </w:rPr>
        <w:t>13</w:t>
      </w:r>
      <w:r w:rsidR="00054B5D" w:rsidRPr="00DC031B">
        <w:rPr>
          <w:rFonts w:ascii="Times New Roman" w:hAnsi="Times New Roman" w:cs="Times New Roman"/>
          <w:sz w:val="24"/>
        </w:rPr>
        <w:t xml:space="preserve"> kadınlarda yüzde 1</w:t>
      </w:r>
      <w:r w:rsidR="00CE24F1">
        <w:rPr>
          <w:rFonts w:ascii="Times New Roman" w:hAnsi="Times New Roman" w:cs="Times New Roman"/>
          <w:sz w:val="24"/>
        </w:rPr>
        <w:t>5</w:t>
      </w:r>
      <w:r w:rsidR="00FA18BE">
        <w:rPr>
          <w:rFonts w:ascii="Times New Roman" w:hAnsi="Times New Roman" w:cs="Times New Roman"/>
          <w:sz w:val="24"/>
        </w:rPr>
        <w:t>,2</w:t>
      </w:r>
      <w:r w:rsidR="00CD44AA" w:rsidRPr="00DC031B">
        <w:rPr>
          <w:rFonts w:ascii="Times New Roman" w:hAnsi="Times New Roman" w:cs="Times New Roman"/>
          <w:sz w:val="24"/>
        </w:rPr>
        <w:t>;</w:t>
      </w:r>
      <w:r w:rsidR="001A195B" w:rsidRPr="00DC031B">
        <w:rPr>
          <w:rFonts w:ascii="Times New Roman" w:hAnsi="Times New Roman" w:cs="Times New Roman"/>
          <w:sz w:val="24"/>
        </w:rPr>
        <w:t xml:space="preserve"> erkeklerde ise yüzde </w:t>
      </w:r>
      <w:r w:rsidR="00CE24F1">
        <w:rPr>
          <w:rFonts w:ascii="Times New Roman" w:hAnsi="Times New Roman" w:cs="Times New Roman"/>
          <w:sz w:val="24"/>
        </w:rPr>
        <w:t>11,9</w:t>
      </w:r>
      <w:bookmarkStart w:id="0" w:name="_GoBack"/>
      <w:bookmarkEnd w:id="0"/>
      <w:r w:rsidR="006577F3" w:rsidRPr="00DC031B">
        <w:rPr>
          <w:rFonts w:ascii="Times New Roman" w:hAnsi="Times New Roman" w:cs="Times New Roman"/>
          <w:sz w:val="24"/>
        </w:rPr>
        <w:t xml:space="preserve"> olarak gerçekleşti</w:t>
      </w:r>
      <w:r w:rsidR="001A195B" w:rsidRPr="00DC031B">
        <w:rPr>
          <w:rFonts w:ascii="Times New Roman" w:hAnsi="Times New Roman" w:cs="Times New Roman"/>
          <w:sz w:val="24"/>
        </w:rPr>
        <w:t>.</w:t>
      </w:r>
    </w:p>
    <w:p w:rsidR="00F87CCD" w:rsidRPr="00107728" w:rsidRDefault="00ED7524" w:rsidP="00462BDA">
      <w:pPr>
        <w:spacing w:line="360" w:lineRule="auto"/>
        <w:rPr>
          <w:noProof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emel işgücü göstergeleri, </w:t>
      </w:r>
      <w:r w:rsidR="00CD44A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15 ve daha yukarı yaştakiler,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yüzde, </w:t>
      </w:r>
      <w:r w:rsidR="001E61D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Nisan</w:t>
      </w:r>
      <w:r w:rsidR="00866E0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2019</w:t>
      </w:r>
      <w:r w:rsidR="00123B6B">
        <w:rPr>
          <w:noProof/>
        </w:rPr>
        <w:drawing>
          <wp:inline distT="0" distB="0" distL="0" distR="0" wp14:anchorId="1838ED71" wp14:editId="324A56C0">
            <wp:extent cx="5972810" cy="1810385"/>
            <wp:effectExtent l="0" t="0" r="8890" b="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  <w:szCs w:val="18"/>
        </w:rPr>
        <w:t>Kaynak: TÜİK</w:t>
      </w:r>
    </w:p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</w:p>
    <w:sectPr w:rsidR="00ED7524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2A" w:rsidRDefault="00E4432A" w:rsidP="00C04441">
      <w:pPr>
        <w:spacing w:after="0" w:line="240" w:lineRule="auto"/>
      </w:pPr>
      <w:r>
        <w:separator/>
      </w:r>
    </w:p>
  </w:endnote>
  <w:endnote w:type="continuationSeparator" w:id="0">
    <w:p w:rsidR="00E4432A" w:rsidRDefault="00E4432A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2A" w:rsidRDefault="00E4432A" w:rsidP="00C04441">
      <w:pPr>
        <w:spacing w:after="0" w:line="240" w:lineRule="auto"/>
      </w:pPr>
      <w:r>
        <w:separator/>
      </w:r>
    </w:p>
  </w:footnote>
  <w:footnote w:type="continuationSeparator" w:id="0">
    <w:p w:rsidR="00E4432A" w:rsidRDefault="00E4432A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106CD"/>
    <w:rsid w:val="00054B5D"/>
    <w:rsid w:val="00054D0A"/>
    <w:rsid w:val="000603A6"/>
    <w:rsid w:val="000701FD"/>
    <w:rsid w:val="000A0940"/>
    <w:rsid w:val="000B7EA9"/>
    <w:rsid w:val="000D18BE"/>
    <w:rsid w:val="000E7256"/>
    <w:rsid w:val="000F055A"/>
    <w:rsid w:val="000F3A7D"/>
    <w:rsid w:val="000F534F"/>
    <w:rsid w:val="00107728"/>
    <w:rsid w:val="0011105D"/>
    <w:rsid w:val="00123B6B"/>
    <w:rsid w:val="001243A0"/>
    <w:rsid w:val="0012715C"/>
    <w:rsid w:val="001373A2"/>
    <w:rsid w:val="00141A4E"/>
    <w:rsid w:val="00145C0B"/>
    <w:rsid w:val="00151B83"/>
    <w:rsid w:val="001544CF"/>
    <w:rsid w:val="00157358"/>
    <w:rsid w:val="00160C8F"/>
    <w:rsid w:val="00160E9B"/>
    <w:rsid w:val="001678C7"/>
    <w:rsid w:val="001A195B"/>
    <w:rsid w:val="001A69D2"/>
    <w:rsid w:val="001C6BBF"/>
    <w:rsid w:val="001E11A2"/>
    <w:rsid w:val="001E5A63"/>
    <w:rsid w:val="001E61D4"/>
    <w:rsid w:val="001E65DA"/>
    <w:rsid w:val="001E7AE1"/>
    <w:rsid w:val="001F6532"/>
    <w:rsid w:val="001F7633"/>
    <w:rsid w:val="00220318"/>
    <w:rsid w:val="00233BD5"/>
    <w:rsid w:val="00234AE3"/>
    <w:rsid w:val="002354F4"/>
    <w:rsid w:val="00236A4A"/>
    <w:rsid w:val="002404FF"/>
    <w:rsid w:val="00245751"/>
    <w:rsid w:val="00266BB9"/>
    <w:rsid w:val="0027053F"/>
    <w:rsid w:val="00271FF8"/>
    <w:rsid w:val="002A35B5"/>
    <w:rsid w:val="002A5E4E"/>
    <w:rsid w:val="002B53E4"/>
    <w:rsid w:val="002D2F61"/>
    <w:rsid w:val="002D3E19"/>
    <w:rsid w:val="002F1FE8"/>
    <w:rsid w:val="00317719"/>
    <w:rsid w:val="00333A6F"/>
    <w:rsid w:val="00351561"/>
    <w:rsid w:val="00357954"/>
    <w:rsid w:val="00363F39"/>
    <w:rsid w:val="003641B3"/>
    <w:rsid w:val="003A57CB"/>
    <w:rsid w:val="003B5279"/>
    <w:rsid w:val="003C470A"/>
    <w:rsid w:val="003C66BD"/>
    <w:rsid w:val="003C6747"/>
    <w:rsid w:val="003D39A5"/>
    <w:rsid w:val="003E0504"/>
    <w:rsid w:val="003E5AD8"/>
    <w:rsid w:val="003F6B23"/>
    <w:rsid w:val="00402F84"/>
    <w:rsid w:val="004037F0"/>
    <w:rsid w:val="00412D10"/>
    <w:rsid w:val="00424CC0"/>
    <w:rsid w:val="00432DF5"/>
    <w:rsid w:val="00452794"/>
    <w:rsid w:val="00461AA0"/>
    <w:rsid w:val="00462BDA"/>
    <w:rsid w:val="00471191"/>
    <w:rsid w:val="0048395E"/>
    <w:rsid w:val="004905C4"/>
    <w:rsid w:val="00496F35"/>
    <w:rsid w:val="004B6587"/>
    <w:rsid w:val="0050484D"/>
    <w:rsid w:val="00516747"/>
    <w:rsid w:val="00517288"/>
    <w:rsid w:val="00522942"/>
    <w:rsid w:val="00522A6C"/>
    <w:rsid w:val="005314E3"/>
    <w:rsid w:val="00531805"/>
    <w:rsid w:val="005405F5"/>
    <w:rsid w:val="005500E3"/>
    <w:rsid w:val="0056193B"/>
    <w:rsid w:val="00574C38"/>
    <w:rsid w:val="00586F09"/>
    <w:rsid w:val="0059622D"/>
    <w:rsid w:val="005A5460"/>
    <w:rsid w:val="005B6E7B"/>
    <w:rsid w:val="005C53F8"/>
    <w:rsid w:val="006020BD"/>
    <w:rsid w:val="0061119F"/>
    <w:rsid w:val="006577F3"/>
    <w:rsid w:val="00664D6B"/>
    <w:rsid w:val="00670F81"/>
    <w:rsid w:val="00676364"/>
    <w:rsid w:val="00677B0D"/>
    <w:rsid w:val="00686A55"/>
    <w:rsid w:val="006A57CA"/>
    <w:rsid w:val="006B2D78"/>
    <w:rsid w:val="006D41B5"/>
    <w:rsid w:val="0070186C"/>
    <w:rsid w:val="007134AC"/>
    <w:rsid w:val="00726FD9"/>
    <w:rsid w:val="00730CD1"/>
    <w:rsid w:val="00731B2B"/>
    <w:rsid w:val="007330A1"/>
    <w:rsid w:val="00734FA5"/>
    <w:rsid w:val="00735FAF"/>
    <w:rsid w:val="007441EB"/>
    <w:rsid w:val="00760EBE"/>
    <w:rsid w:val="00767044"/>
    <w:rsid w:val="007736BE"/>
    <w:rsid w:val="00774754"/>
    <w:rsid w:val="00783D36"/>
    <w:rsid w:val="00784D01"/>
    <w:rsid w:val="007907AD"/>
    <w:rsid w:val="007B58E6"/>
    <w:rsid w:val="007B646C"/>
    <w:rsid w:val="007E2233"/>
    <w:rsid w:val="007E639F"/>
    <w:rsid w:val="007E6560"/>
    <w:rsid w:val="007F7E1F"/>
    <w:rsid w:val="00824AB5"/>
    <w:rsid w:val="00835D94"/>
    <w:rsid w:val="008547CD"/>
    <w:rsid w:val="00866E05"/>
    <w:rsid w:val="008776D9"/>
    <w:rsid w:val="008820C9"/>
    <w:rsid w:val="00890079"/>
    <w:rsid w:val="008A0BE9"/>
    <w:rsid w:val="008A575D"/>
    <w:rsid w:val="008B5FD9"/>
    <w:rsid w:val="008B6C94"/>
    <w:rsid w:val="008C113D"/>
    <w:rsid w:val="008C2C15"/>
    <w:rsid w:val="008C7F9E"/>
    <w:rsid w:val="008D1077"/>
    <w:rsid w:val="008E7766"/>
    <w:rsid w:val="008F0957"/>
    <w:rsid w:val="008F373C"/>
    <w:rsid w:val="009044A0"/>
    <w:rsid w:val="00907E0D"/>
    <w:rsid w:val="009113D4"/>
    <w:rsid w:val="009159F8"/>
    <w:rsid w:val="009216A9"/>
    <w:rsid w:val="00923FD3"/>
    <w:rsid w:val="0092414A"/>
    <w:rsid w:val="009249C4"/>
    <w:rsid w:val="0092688D"/>
    <w:rsid w:val="00935B34"/>
    <w:rsid w:val="0096558F"/>
    <w:rsid w:val="00965AE0"/>
    <w:rsid w:val="00973D19"/>
    <w:rsid w:val="00977C64"/>
    <w:rsid w:val="00990337"/>
    <w:rsid w:val="00995BB7"/>
    <w:rsid w:val="009A2AEB"/>
    <w:rsid w:val="009A48F7"/>
    <w:rsid w:val="009A5189"/>
    <w:rsid w:val="009A6E86"/>
    <w:rsid w:val="009D472F"/>
    <w:rsid w:val="009F0A83"/>
    <w:rsid w:val="009F54F1"/>
    <w:rsid w:val="00A2391E"/>
    <w:rsid w:val="00A26574"/>
    <w:rsid w:val="00A705F6"/>
    <w:rsid w:val="00A7284F"/>
    <w:rsid w:val="00A74D07"/>
    <w:rsid w:val="00A77365"/>
    <w:rsid w:val="00A9496C"/>
    <w:rsid w:val="00AD2065"/>
    <w:rsid w:val="00AF1830"/>
    <w:rsid w:val="00AF7253"/>
    <w:rsid w:val="00B05178"/>
    <w:rsid w:val="00B15E53"/>
    <w:rsid w:val="00B27A6A"/>
    <w:rsid w:val="00B27C50"/>
    <w:rsid w:val="00B34DA9"/>
    <w:rsid w:val="00B438CA"/>
    <w:rsid w:val="00B53BE3"/>
    <w:rsid w:val="00B62061"/>
    <w:rsid w:val="00B66002"/>
    <w:rsid w:val="00B71707"/>
    <w:rsid w:val="00B76F8D"/>
    <w:rsid w:val="00B82CB5"/>
    <w:rsid w:val="00B957A3"/>
    <w:rsid w:val="00B97F9C"/>
    <w:rsid w:val="00BA5C1B"/>
    <w:rsid w:val="00BB1743"/>
    <w:rsid w:val="00BC294E"/>
    <w:rsid w:val="00BC318C"/>
    <w:rsid w:val="00BC5F10"/>
    <w:rsid w:val="00BC631A"/>
    <w:rsid w:val="00BF11A4"/>
    <w:rsid w:val="00C04441"/>
    <w:rsid w:val="00C10B55"/>
    <w:rsid w:val="00C144CC"/>
    <w:rsid w:val="00C21D8B"/>
    <w:rsid w:val="00C24C09"/>
    <w:rsid w:val="00C40D96"/>
    <w:rsid w:val="00C67B1D"/>
    <w:rsid w:val="00C707D3"/>
    <w:rsid w:val="00C71B87"/>
    <w:rsid w:val="00C85AD2"/>
    <w:rsid w:val="00C92766"/>
    <w:rsid w:val="00C97197"/>
    <w:rsid w:val="00C97C3B"/>
    <w:rsid w:val="00C97EF7"/>
    <w:rsid w:val="00CA6DFE"/>
    <w:rsid w:val="00CC76E5"/>
    <w:rsid w:val="00CC7AA1"/>
    <w:rsid w:val="00CC7D5F"/>
    <w:rsid w:val="00CD44AA"/>
    <w:rsid w:val="00CD4A2C"/>
    <w:rsid w:val="00CE24F1"/>
    <w:rsid w:val="00D1035F"/>
    <w:rsid w:val="00D20A2B"/>
    <w:rsid w:val="00D2299D"/>
    <w:rsid w:val="00D23355"/>
    <w:rsid w:val="00D25C4D"/>
    <w:rsid w:val="00D605AD"/>
    <w:rsid w:val="00D93669"/>
    <w:rsid w:val="00DB1389"/>
    <w:rsid w:val="00DC031B"/>
    <w:rsid w:val="00DC1EE8"/>
    <w:rsid w:val="00DC5FDC"/>
    <w:rsid w:val="00DE7934"/>
    <w:rsid w:val="00E13AD5"/>
    <w:rsid w:val="00E16653"/>
    <w:rsid w:val="00E40B26"/>
    <w:rsid w:val="00E42AC8"/>
    <w:rsid w:val="00E42BBF"/>
    <w:rsid w:val="00E433A7"/>
    <w:rsid w:val="00E4432A"/>
    <w:rsid w:val="00E465E9"/>
    <w:rsid w:val="00E57799"/>
    <w:rsid w:val="00E619A9"/>
    <w:rsid w:val="00E66EA9"/>
    <w:rsid w:val="00E92F7C"/>
    <w:rsid w:val="00E95D95"/>
    <w:rsid w:val="00EA6001"/>
    <w:rsid w:val="00EB4BA5"/>
    <w:rsid w:val="00ED7524"/>
    <w:rsid w:val="00EE696A"/>
    <w:rsid w:val="00EF4E45"/>
    <w:rsid w:val="00EF778F"/>
    <w:rsid w:val="00F061D6"/>
    <w:rsid w:val="00F12E5E"/>
    <w:rsid w:val="00F21401"/>
    <w:rsid w:val="00F34C9C"/>
    <w:rsid w:val="00F34E04"/>
    <w:rsid w:val="00F62867"/>
    <w:rsid w:val="00F62957"/>
    <w:rsid w:val="00F73CA5"/>
    <w:rsid w:val="00F851D9"/>
    <w:rsid w:val="00F87CCD"/>
    <w:rsid w:val="00F9792D"/>
    <w:rsid w:val="00FA18BE"/>
    <w:rsid w:val="00FB288F"/>
    <w:rsid w:val="00FB457F"/>
    <w:rsid w:val="00FD0F6A"/>
    <w:rsid w:val="00F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005A"/>
  <w15:docId w15:val="{3C3C7CD5-31DD-4B63-B85B-730C431F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aylan%20PC\Cloud\HH_D&#305;&#351;%20Ticaret%20&#304;statistik\HH_0719\HH_Analiz_Nis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aylan%20PC\Cloud\HH_D&#305;&#351;%20Ticaret%20&#304;statistik\HH_0719\HH_Analiz_Nisa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aylan%20PC\Cloud\HH_D&#305;&#351;%20Ticaret%20&#304;statistik\HH_0719\HH_Analiz_Nis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Sayfa1!$M$31</c:f>
              <c:strCache>
                <c:ptCount val="1"/>
                <c:pt idx="0">
                  <c:v>İşgücü</c:v>
                </c:pt>
              </c:strCache>
            </c:strRef>
          </c:tx>
          <c:spPr>
            <a:ln w="4762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cat>
            <c:numRef>
              <c:f>Sayfa1!$L$32:$L$43</c:f>
              <c:numCache>
                <c:formatCode>mmm\-yy</c:formatCode>
                <c:ptCount val="12"/>
                <c:pt idx="0">
                  <c:v>43191</c:v>
                </c:pt>
                <c:pt idx="1">
                  <c:v>43221</c:v>
                </c:pt>
                <c:pt idx="2">
                  <c:v>43252</c:v>
                </c:pt>
                <c:pt idx="3">
                  <c:v>43282</c:v>
                </c:pt>
                <c:pt idx="4">
                  <c:v>43313</c:v>
                </c:pt>
                <c:pt idx="5">
                  <c:v>43344</c:v>
                </c:pt>
                <c:pt idx="6">
                  <c:v>43374</c:v>
                </c:pt>
                <c:pt idx="7">
                  <c:v>43405</c:v>
                </c:pt>
                <c:pt idx="8">
                  <c:v>43435</c:v>
                </c:pt>
                <c:pt idx="9">
                  <c:v>43466</c:v>
                </c:pt>
                <c:pt idx="10">
                  <c:v>43497</c:v>
                </c:pt>
                <c:pt idx="11">
                  <c:v>43525</c:v>
                </c:pt>
              </c:numCache>
            </c:numRef>
          </c:cat>
          <c:val>
            <c:numRef>
              <c:f>Sayfa1!$M$32:$M$44</c:f>
              <c:numCache>
                <c:formatCode>0.0</c:formatCode>
                <c:ptCount val="13"/>
                <c:pt idx="0">
                  <c:v>32.094999999999999</c:v>
                </c:pt>
                <c:pt idx="1">
                  <c:v>32.274000000000001</c:v>
                </c:pt>
                <c:pt idx="2">
                  <c:v>32.628999999999998</c:v>
                </c:pt>
                <c:pt idx="3">
                  <c:v>32.795999999999999</c:v>
                </c:pt>
                <c:pt idx="4">
                  <c:v>32.988999999999997</c:v>
                </c:pt>
                <c:pt idx="5">
                  <c:v>32.813000000000002</c:v>
                </c:pt>
                <c:pt idx="6">
                  <c:v>32.658000000000001</c:v>
                </c:pt>
                <c:pt idx="7">
                  <c:v>32.295000000000002</c:v>
                </c:pt>
                <c:pt idx="8">
                  <c:v>31.957000000000001</c:v>
                </c:pt>
                <c:pt idx="9">
                  <c:v>31.824999999999999</c:v>
                </c:pt>
                <c:pt idx="10">
                  <c:v>32.084000000000003</c:v>
                </c:pt>
                <c:pt idx="11">
                  <c:v>32.338999999999999</c:v>
                </c:pt>
                <c:pt idx="12">
                  <c:v>32.401000000000003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CE25-4141-8E90-36B53DA574DC}"/>
            </c:ext>
          </c:extLst>
        </c:ser>
        <c:ser>
          <c:idx val="1"/>
          <c:order val="1"/>
          <c:tx>
            <c:strRef>
              <c:f>Sayfa1!$N$31</c:f>
              <c:strCache>
                <c:ptCount val="1"/>
                <c:pt idx="0">
                  <c:v>İstihdam</c:v>
                </c:pt>
              </c:strCache>
            </c:strRef>
          </c:tx>
          <c:spPr>
            <a:ln w="4762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numRef>
              <c:f>Sayfa1!$L$32:$L$43</c:f>
              <c:numCache>
                <c:formatCode>mmm\-yy</c:formatCode>
                <c:ptCount val="12"/>
                <c:pt idx="0">
                  <c:v>43191</c:v>
                </c:pt>
                <c:pt idx="1">
                  <c:v>43221</c:v>
                </c:pt>
                <c:pt idx="2">
                  <c:v>43252</c:v>
                </c:pt>
                <c:pt idx="3">
                  <c:v>43282</c:v>
                </c:pt>
                <c:pt idx="4">
                  <c:v>43313</c:v>
                </c:pt>
                <c:pt idx="5">
                  <c:v>43344</c:v>
                </c:pt>
                <c:pt idx="6">
                  <c:v>43374</c:v>
                </c:pt>
                <c:pt idx="7">
                  <c:v>43405</c:v>
                </c:pt>
                <c:pt idx="8">
                  <c:v>43435</c:v>
                </c:pt>
                <c:pt idx="9">
                  <c:v>43466</c:v>
                </c:pt>
                <c:pt idx="10">
                  <c:v>43497</c:v>
                </c:pt>
                <c:pt idx="11">
                  <c:v>43525</c:v>
                </c:pt>
              </c:numCache>
            </c:numRef>
          </c:cat>
          <c:val>
            <c:numRef>
              <c:f>Sayfa1!$N$32:$N$44</c:f>
              <c:numCache>
                <c:formatCode>0.0</c:formatCode>
                <c:ptCount val="13"/>
                <c:pt idx="0">
                  <c:v>29.009</c:v>
                </c:pt>
                <c:pt idx="1">
                  <c:v>29.138000000000002</c:v>
                </c:pt>
                <c:pt idx="2">
                  <c:v>29.314</c:v>
                </c:pt>
                <c:pt idx="3">
                  <c:v>29.265000000000001</c:v>
                </c:pt>
                <c:pt idx="4">
                  <c:v>29.318000000000001</c:v>
                </c:pt>
                <c:pt idx="5">
                  <c:v>29.062999999999999</c:v>
                </c:pt>
                <c:pt idx="6">
                  <c:v>28.87</c:v>
                </c:pt>
                <c:pt idx="7">
                  <c:v>28.314</c:v>
                </c:pt>
                <c:pt idx="8">
                  <c:v>27.655000000000001</c:v>
                </c:pt>
                <c:pt idx="9">
                  <c:v>27.157</c:v>
                </c:pt>
                <c:pt idx="10">
                  <c:v>27.355</c:v>
                </c:pt>
                <c:pt idx="11">
                  <c:v>27.795000000000002</c:v>
                </c:pt>
                <c:pt idx="12">
                  <c:v>28.199000000000002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CE25-4141-8E90-36B53DA574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smooth val="0"/>
        <c:axId val="943125920"/>
        <c:axId val="943116768"/>
      </c:lineChart>
      <c:dateAx>
        <c:axId val="94312592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943116768"/>
        <c:crosses val="autoZero"/>
        <c:auto val="1"/>
        <c:lblOffset val="100"/>
        <c:baseTimeUnit val="months"/>
      </c:dateAx>
      <c:valAx>
        <c:axId val="943116768"/>
        <c:scaling>
          <c:orientation val="minMax"/>
          <c:min val="27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tr-TR"/>
                  <a:t>Milyon kişi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tr-TR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94312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Sayfa2!$B$11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Sayfa2!$C$10:$H$10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Sayfa2!$C$11:$H$11</c:f>
              <c:numCache>
                <c:formatCode>0.0</c:formatCode>
                <c:ptCount val="6"/>
                <c:pt idx="0">
                  <c:v>61.261000000000003</c:v>
                </c:pt>
                <c:pt idx="1">
                  <c:v>32.401000000000003</c:v>
                </c:pt>
                <c:pt idx="2">
                  <c:v>4.976</c:v>
                </c:pt>
                <c:pt idx="3">
                  <c:v>23.222999999999999</c:v>
                </c:pt>
                <c:pt idx="4">
                  <c:v>4.202</c:v>
                </c:pt>
                <c:pt idx="5">
                  <c:v>28.86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D7-4484-A101-4F0D17FADB85}"/>
            </c:ext>
          </c:extLst>
        </c:ser>
        <c:ser>
          <c:idx val="1"/>
          <c:order val="1"/>
          <c:tx>
            <c:strRef>
              <c:f>Sayfa2!$B$12</c:f>
              <c:strCache>
                <c:ptCount val="1"/>
                <c:pt idx="0">
                  <c:v>Erkek 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Sayfa2!$C$10:$H$10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Sayfa2!$C$12:$H$12</c:f>
              <c:numCache>
                <c:formatCode>0.0</c:formatCode>
                <c:ptCount val="6"/>
                <c:pt idx="0">
                  <c:v>30.27</c:v>
                </c:pt>
                <c:pt idx="1">
                  <c:v>21.72</c:v>
                </c:pt>
                <c:pt idx="2">
                  <c:v>2.7909999999999999</c:v>
                </c:pt>
                <c:pt idx="3">
                  <c:v>16.353000000000002</c:v>
                </c:pt>
                <c:pt idx="4">
                  <c:v>2.5760000000000001</c:v>
                </c:pt>
                <c:pt idx="5">
                  <c:v>8.5500000000000007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D7-4484-A101-4F0D17FADB85}"/>
            </c:ext>
          </c:extLst>
        </c:ser>
        <c:ser>
          <c:idx val="2"/>
          <c:order val="2"/>
          <c:tx>
            <c:strRef>
              <c:f>Sayfa2!$B$13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Sayfa2!$C$10:$H$10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Sayfa2!$C$13:$H$13</c:f>
              <c:numCache>
                <c:formatCode>0.0</c:formatCode>
                <c:ptCount val="6"/>
                <c:pt idx="0">
                  <c:v>30.99</c:v>
                </c:pt>
                <c:pt idx="1">
                  <c:v>10.680999999999999</c:v>
                </c:pt>
                <c:pt idx="2">
                  <c:v>2.1850000000000001</c:v>
                </c:pt>
                <c:pt idx="3">
                  <c:v>6.87</c:v>
                </c:pt>
                <c:pt idx="4">
                  <c:v>1.6259999999999999</c:v>
                </c:pt>
                <c:pt idx="5">
                  <c:v>20.309999999999999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D7-4484-A101-4F0D17FADB8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25896320"/>
        <c:axId val="225897856"/>
      </c:barChart>
      <c:catAx>
        <c:axId val="2258963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5897856"/>
        <c:crosses val="autoZero"/>
        <c:auto val="1"/>
        <c:lblAlgn val="ctr"/>
        <c:lblOffset val="100"/>
        <c:noMultiLvlLbl val="0"/>
      </c:catAx>
      <c:valAx>
        <c:axId val="22589785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2258963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Sayfa3!$B$4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Sayfa3!$C$3:$F$3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Sayfa3!$C$4:$F$4</c:f>
              <c:numCache>
                <c:formatCode>General</c:formatCode>
                <c:ptCount val="4"/>
                <c:pt idx="0">
                  <c:v>52.9</c:v>
                </c:pt>
                <c:pt idx="1">
                  <c:v>46</c:v>
                </c:pt>
                <c:pt idx="2">
                  <c:v>13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EB-4F33-AFE2-BCBE1CFC8541}"/>
            </c:ext>
          </c:extLst>
        </c:ser>
        <c:ser>
          <c:idx val="1"/>
          <c:order val="1"/>
          <c:tx>
            <c:strRef>
              <c:f>Sayfa3!$B$5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Sayfa3!$C$3:$F$3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Sayfa3!$C$5:$F$5</c:f>
              <c:numCache>
                <c:formatCode>General</c:formatCode>
                <c:ptCount val="4"/>
                <c:pt idx="0">
                  <c:v>71.8</c:v>
                </c:pt>
                <c:pt idx="1">
                  <c:v>63.2</c:v>
                </c:pt>
                <c:pt idx="2">
                  <c:v>11.9</c:v>
                </c:pt>
                <c:pt idx="3">
                  <c:v>13.2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EB-4F33-AFE2-BCBE1CFC8541}"/>
            </c:ext>
          </c:extLst>
        </c:ser>
        <c:ser>
          <c:idx val="2"/>
          <c:order val="2"/>
          <c:tx>
            <c:strRef>
              <c:f>Sayfa3!$B$6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Sayfa3!$C$3:$F$3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Sayfa3!$C$6:$F$6</c:f>
              <c:numCache>
                <c:formatCode>General</c:formatCode>
                <c:ptCount val="4"/>
                <c:pt idx="0">
                  <c:v>34.5</c:v>
                </c:pt>
                <c:pt idx="1">
                  <c:v>29.2</c:v>
                </c:pt>
                <c:pt idx="2">
                  <c:v>15.2</c:v>
                </c:pt>
                <c:pt idx="3">
                  <c:v>18.899999999999999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EB-4F33-AFE2-BCBE1CFC854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26323072"/>
        <c:axId val="226333056"/>
      </c:barChart>
      <c:catAx>
        <c:axId val="226323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6333056"/>
        <c:crosses val="autoZero"/>
        <c:auto val="1"/>
        <c:lblAlgn val="ctr"/>
        <c:lblOffset val="100"/>
        <c:noMultiLvlLbl val="0"/>
      </c:catAx>
      <c:valAx>
        <c:axId val="2263330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63230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/>
      </a:pPr>
      <a:endParaRPr lang="tr-T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C1876-55CC-4938-9C14-7E39AB76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AsusZ143</cp:lastModifiedBy>
  <cp:revision>11</cp:revision>
  <cp:lastPrinted>2015-01-15T08:00:00Z</cp:lastPrinted>
  <dcterms:created xsi:type="dcterms:W3CDTF">2018-10-19T10:58:00Z</dcterms:created>
  <dcterms:modified xsi:type="dcterms:W3CDTF">2019-07-16T08:07:00Z</dcterms:modified>
</cp:coreProperties>
</file>